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04E93A4F"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674FD1">
        <w:rPr>
          <w:rFonts w:ascii="Arial" w:eastAsia="Arial" w:hAnsi="Arial" w:cs="Arial"/>
          <w:b/>
          <w:bCs/>
          <w:color w:val="808080" w:themeColor="background1" w:themeShade="80"/>
          <w:sz w:val="25"/>
          <w:szCs w:val="25"/>
        </w:rPr>
        <w:t>284</w:t>
      </w:r>
    </w:p>
    <w:p w14:paraId="6F527427" w14:textId="78B38D1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EAA840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B34C3" w:rsidRPr="001B34C3">
        <w:rPr>
          <w:rFonts w:ascii="Arial" w:eastAsia="SimSun" w:hAnsi="Arial"/>
          <w:sz w:val="24"/>
          <w:szCs w:val="24"/>
          <w:lang w:eastAsia="en-GB"/>
        </w:rPr>
        <w:t>Use case on using GEO for initial network entry and service initialization</w:t>
      </w:r>
    </w:p>
    <w:p w14:paraId="4DF987E2"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756E9C">
        <w:rPr>
          <w:rFonts w:ascii="Arial" w:eastAsia="SimSun" w:hAnsi="Arial"/>
          <w:sz w:val="24"/>
          <w:szCs w:val="24"/>
          <w:lang w:eastAsia="en-GB"/>
        </w:rPr>
        <w:t>7.3</w:t>
      </w:r>
    </w:p>
    <w:p w14:paraId="78DEBE4B" w14:textId="4944E33D" w:rsidR="00B4181D" w:rsidRPr="00E82F3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E82F35">
        <w:rPr>
          <w:rFonts w:ascii="Arial" w:eastAsia="SimSun" w:hAnsi="Arial"/>
          <w:sz w:val="24"/>
          <w:szCs w:val="24"/>
          <w:lang w:val="fr-FR" w:eastAsia="en-GB"/>
        </w:rPr>
        <w:t>Source:</w:t>
      </w:r>
      <w:r w:rsidR="00756E9C" w:rsidRPr="00E82F35">
        <w:rPr>
          <w:rFonts w:ascii="Arial" w:eastAsia="SimSun" w:hAnsi="Arial"/>
          <w:sz w:val="24"/>
          <w:szCs w:val="24"/>
          <w:lang w:val="fr-FR" w:eastAsia="en-GB"/>
        </w:rPr>
        <w:tab/>
      </w:r>
      <w:proofErr w:type="spellStart"/>
      <w:r w:rsidR="00627436" w:rsidRPr="00E82F35">
        <w:rPr>
          <w:rFonts w:ascii="Arial" w:eastAsia="SimSun" w:hAnsi="Arial"/>
          <w:sz w:val="24"/>
          <w:szCs w:val="24"/>
          <w:lang w:val="fr-FR" w:eastAsia="en-GB"/>
        </w:rPr>
        <w:t>Viasat</w:t>
      </w:r>
      <w:proofErr w:type="spellEnd"/>
      <w:r w:rsidR="00627436" w:rsidRPr="00E82F35">
        <w:rPr>
          <w:rFonts w:ascii="Arial" w:eastAsia="SimSun" w:hAnsi="Arial"/>
          <w:sz w:val="24"/>
          <w:szCs w:val="24"/>
          <w:lang w:val="fr-FR" w:eastAsia="en-GB"/>
        </w:rPr>
        <w:t xml:space="preserve"> Inc.</w:t>
      </w:r>
      <w:r w:rsidR="00C74E6D" w:rsidRPr="00E82F35">
        <w:rPr>
          <w:rFonts w:ascii="Arial" w:eastAsia="SimSun" w:hAnsi="Arial"/>
          <w:sz w:val="24"/>
          <w:szCs w:val="24"/>
          <w:lang w:val="fr-FR" w:eastAsia="en-GB"/>
        </w:rPr>
        <w:t xml:space="preserve">, </w:t>
      </w:r>
      <w:proofErr w:type="spellStart"/>
      <w:r w:rsidR="00674FD1" w:rsidRPr="00E82F35">
        <w:rPr>
          <w:rFonts w:ascii="Arial" w:eastAsia="SimSun" w:hAnsi="Arial"/>
          <w:sz w:val="24"/>
          <w:szCs w:val="24"/>
          <w:lang w:val="fr-FR" w:eastAsia="en-GB"/>
        </w:rPr>
        <w:t>Inmarsat</w:t>
      </w:r>
      <w:proofErr w:type="spellEnd"/>
      <w:r w:rsidR="00674FD1" w:rsidRPr="00E82F35">
        <w:rPr>
          <w:rFonts w:ascii="Arial" w:eastAsia="SimSun" w:hAnsi="Arial"/>
          <w:sz w:val="24"/>
          <w:szCs w:val="24"/>
          <w:lang w:val="fr-FR" w:eastAsia="en-GB"/>
        </w:rPr>
        <w:t xml:space="preserve">, </w:t>
      </w:r>
      <w:r w:rsidR="00C74E6D" w:rsidRPr="00E82F35">
        <w:rPr>
          <w:rFonts w:ascii="Arial" w:eastAsia="SimSun" w:hAnsi="Arial"/>
          <w:sz w:val="24"/>
          <w:szCs w:val="24"/>
          <w:lang w:val="fr-FR" w:eastAsia="en-GB"/>
        </w:rPr>
        <w:t>Novamint</w:t>
      </w:r>
      <w:r w:rsidR="00C953D4">
        <w:rPr>
          <w:rFonts w:ascii="Arial" w:eastAsia="SimSun" w:hAnsi="Arial"/>
          <w:sz w:val="24"/>
          <w:szCs w:val="24"/>
          <w:lang w:val="fr-FR" w:eastAsia="en-GB"/>
        </w:rPr>
        <w:t>, SES</w:t>
      </w:r>
    </w:p>
    <w:p w14:paraId="1437313E" w14:textId="4E9714B8" w:rsidR="00B4181D" w:rsidRPr="000D6532" w:rsidRDefault="00B4181D" w:rsidP="001B34C3">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B34C3">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w:t>
      </w:r>
      <w:proofErr w:type="spellStart"/>
      <w:r w:rsidR="00627436">
        <w:rPr>
          <w:rFonts w:ascii="Arial" w:eastAsia="SimSun" w:hAnsi="Arial"/>
          <w:sz w:val="24"/>
          <w:szCs w:val="24"/>
          <w:lang w:eastAsia="en-GB"/>
        </w:rPr>
        <w:t>Petranovich</w:t>
      </w:r>
      <w:proofErr w:type="spellEnd"/>
      <w:r w:rsidR="00627436">
        <w:rPr>
          <w:rFonts w:ascii="Arial" w:eastAsia="SimSun" w:hAnsi="Arial"/>
          <w:sz w:val="24"/>
          <w:szCs w:val="24"/>
          <w:lang w:eastAsia="en-GB"/>
        </w:rPr>
        <w:t xml:space="preserve">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00CB17AB"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C74E6D">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5B382671" w:rsidR="00756E9C" w:rsidRPr="00756E9C" w:rsidRDefault="009E7D0B" w:rsidP="00756E9C">
      <w:pPr>
        <w:rPr>
          <w:rFonts w:eastAsia="Calibri"/>
        </w:rPr>
      </w:pPr>
      <w:r w:rsidRPr="24EF730C">
        <w:rPr>
          <w:rFonts w:eastAsia="Calibri"/>
        </w:rPr>
        <w:t>In this paper, we describe</w:t>
      </w:r>
      <w:r w:rsidR="00C74E6D">
        <w:rPr>
          <w:rFonts w:eastAsia="Calibri"/>
        </w:rPr>
        <w:t xml:space="preserve"> one of</w:t>
      </w:r>
      <w:r w:rsidRPr="24EF730C">
        <w:rPr>
          <w:rFonts w:eastAsia="Calibri"/>
        </w:rPr>
        <w:t xml:space="preserve"> 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3C57D747" w14:textId="23AE9B9C" w:rsidR="00FB720B" w:rsidRPr="00992137" w:rsidRDefault="00FB720B" w:rsidP="3243BDAE">
      <w:pPr>
        <w:ind w:left="792"/>
        <w:rPr>
          <w:rFonts w:eastAsia="Calibri"/>
        </w:rPr>
      </w:pPr>
    </w:p>
    <w:p w14:paraId="10EA8E25" w14:textId="77777777" w:rsidR="00234E84" w:rsidRPr="00A1690C" w:rsidRDefault="00472A9A" w:rsidP="00583586">
      <w:pPr>
        <w:pStyle w:val="Heading2"/>
      </w:pPr>
      <w:r w:rsidRPr="46678DE7">
        <w:rPr>
          <w:lang w:val="en-GB"/>
        </w:rPr>
        <w:t>2</w:t>
      </w:r>
      <w:r w:rsidR="002069C0" w:rsidRPr="46678DE7">
        <w:rPr>
          <w:lang w:val="en-GB"/>
        </w:rPr>
        <w:t>.1</w:t>
      </w:r>
      <w:r>
        <w:tab/>
      </w:r>
      <w:r w:rsidR="00234E84" w:rsidRPr="46678DE7">
        <w:rPr>
          <w:lang w:val="en-GB"/>
        </w:rPr>
        <w:t xml:space="preserve">Use case </w:t>
      </w:r>
      <w:r w:rsidR="001B0AFB" w:rsidRPr="46678DE7">
        <w:rPr>
          <w:lang w:val="en-GB"/>
        </w:rPr>
        <w:t xml:space="preserve">on </w:t>
      </w:r>
      <w:r w:rsidR="003E6F8C" w:rsidRPr="46678DE7">
        <w:rPr>
          <w:lang w:val="en-GB"/>
        </w:rPr>
        <w:t>using GEO for initial network entry and service initialization</w:t>
      </w:r>
    </w:p>
    <w:p w14:paraId="115BE2A2" w14:textId="77777777" w:rsidR="00234E84" w:rsidRDefault="00472A9A" w:rsidP="00B00980">
      <w:pPr>
        <w:pStyle w:val="Heading3"/>
        <w:rPr>
          <w:lang w:val="en-GB"/>
        </w:rPr>
      </w:pPr>
      <w:r>
        <w:rPr>
          <w:lang w:val="en-GB"/>
        </w:rPr>
        <w:t>2</w:t>
      </w:r>
      <w:r w:rsidR="00234E84" w:rsidRPr="000D6532">
        <w:rPr>
          <w:lang w:val="en-GB"/>
        </w:rPr>
        <w:t>.1.1</w:t>
      </w:r>
      <w:r w:rsidR="002069C0" w:rsidRPr="000D6532">
        <w:rPr>
          <w:lang w:val="en-GB"/>
        </w:rPr>
        <w:tab/>
      </w:r>
      <w:r w:rsidR="00234E84" w:rsidRPr="000D6532">
        <w:rPr>
          <w:lang w:val="en-GB"/>
        </w:rPr>
        <w:t>Description</w:t>
      </w:r>
    </w:p>
    <w:p w14:paraId="0D121561" w14:textId="6BDAF437" w:rsidR="003E6F8C" w:rsidRDefault="003E6F8C" w:rsidP="003E6F8C">
      <w:r>
        <w:t>GEO satellites have a much wider field of view than NGSO satellites</w:t>
      </w:r>
      <w:r w:rsidR="00337E59">
        <w:t xml:space="preserve"> and typically have longer active duty cycles than NGSO systems</w:t>
      </w:r>
      <w:r>
        <w:t xml:space="preserve">.  </w:t>
      </w:r>
      <w:r w:rsidR="00E335CD">
        <w:t xml:space="preserve">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w:t>
      </w:r>
      <w:r>
        <w:t xml:space="preserve">Cell search </w:t>
      </w:r>
      <w:r w:rsidR="00337E59">
        <w:t xml:space="preserve">and network entry can be a simpler process using GEO satellites, while cell search and network entry </w:t>
      </w:r>
      <w:r>
        <w:t xml:space="preserve">can be an extended process for a UE served by NGSO satellites exclusively.  </w:t>
      </w:r>
    </w:p>
    <w:p w14:paraId="68C1760E" w14:textId="0FA52986" w:rsidR="00D00895" w:rsidRDefault="00D00895" w:rsidP="003E6F8C">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09CAEA61" w14:textId="78513FDE" w:rsidR="00693349" w:rsidRDefault="00D00895" w:rsidP="003E6F8C">
      <w:r>
        <w:t xml:space="preserve">The presence of a GEO satellite coverage overlay on top of NGSO allows to bridge coverage gaps by providing broadcast signal coverage and initial access for the network.  In </w:t>
      </w:r>
      <w:r w:rsidR="00B967B1">
        <w:t>this mode</w:t>
      </w:r>
      <w:r>
        <w:t>,</w:t>
      </w:r>
      <w:r w:rsidR="00B967B1">
        <w:t xml:space="preserve"> we assume that </w:t>
      </w:r>
      <w:r>
        <w:t>upon power-</w:t>
      </w:r>
      <w:r w:rsidR="00B967B1">
        <w:t xml:space="preserve">on, </w:t>
      </w:r>
      <w:r>
        <w:t>a</w:t>
      </w:r>
      <w:r w:rsidR="238970BF">
        <w:t>n</w:t>
      </w:r>
      <w:r w:rsidR="00B967B1">
        <w:t xml:space="preserve"> UE </w:t>
      </w:r>
      <w:r>
        <w:t xml:space="preserve">will perform </w:t>
      </w:r>
      <w:r w:rsidR="00B967B1">
        <w:t>initial cell search</w:t>
      </w:r>
      <w:r>
        <w:t>, initial access and network registration (also known as “network entry”)  in</w:t>
      </w:r>
      <w:r w:rsidR="00B967B1">
        <w:t xml:space="preserve">to a GEO satellite.  </w:t>
      </w:r>
      <w:r>
        <w:t xml:space="preserve">During the initial access and registration procedure, or after </w:t>
      </w:r>
      <w:r w:rsidR="00B967B1">
        <w:t xml:space="preserve">the UE </w:t>
      </w:r>
      <w:r>
        <w:t xml:space="preserve">has come online </w:t>
      </w:r>
      <w:r w:rsidR="00B967B1">
        <w:t xml:space="preserve">, the network may choose to </w:t>
      </w:r>
      <w:r w:rsidR="00B967B1">
        <w:lastRenderedPageBreak/>
        <w:t xml:space="preserve">handover the UE to an available NGSO satellite.  The NGSO satellite may be instructed by the network to </w:t>
      </w:r>
      <w:r>
        <w:t>activate</w:t>
      </w:r>
      <w:r w:rsidR="00B967B1">
        <w:t xml:space="preserve"> a </w:t>
      </w:r>
      <w:r>
        <w:t xml:space="preserve">dormant </w:t>
      </w:r>
      <w:r w:rsidR="00B967B1">
        <w:t xml:space="preserve">beam </w:t>
      </w:r>
      <w:r>
        <w:t xml:space="preserve">or cell </w:t>
      </w:r>
      <w:r w:rsidR="00B967B1">
        <w:t xml:space="preserve">with a specific set of resources </w:t>
      </w:r>
      <w:r>
        <w:t>in the targeted coverage area</w:t>
      </w:r>
      <w:r w:rsidR="00B967B1">
        <w:t>, or the UE may be instructed to join an existing NGSO beam</w:t>
      </w:r>
      <w:r>
        <w:t xml:space="preserve"> or cell</w:t>
      </w:r>
      <w:r w:rsidR="00B967B1">
        <w:t xml:space="preserve">.  </w:t>
      </w:r>
    </w:p>
    <w:p w14:paraId="488E514C" w14:textId="1471D4B1" w:rsidR="00234E84" w:rsidRPr="000D6532" w:rsidRDefault="00472A9A" w:rsidP="24EF730C">
      <w:pPr>
        <w:pStyle w:val="Heading3"/>
      </w:pPr>
      <w:bookmarkStart w:id="0" w:name="_Toc355779205"/>
      <w:bookmarkStart w:id="1" w:name="_Toc354586743"/>
      <w:bookmarkStart w:id="2" w:name="_Toc354590102"/>
      <w:bookmarkEnd w:id="0"/>
      <w:bookmarkEnd w:id="1"/>
      <w:bookmarkEnd w:id="2"/>
      <w:r w:rsidRPr="24EF730C">
        <w:rPr>
          <w:lang w:val="en-GB"/>
        </w:rPr>
        <w:t>2</w:t>
      </w:r>
      <w:r w:rsidR="00234E84" w:rsidRPr="24EF730C">
        <w:rPr>
          <w:lang w:val="en-GB"/>
        </w:rPr>
        <w:t>.1.2</w:t>
      </w:r>
      <w:r>
        <w:tab/>
      </w:r>
      <w:r w:rsidR="00234E84" w:rsidRPr="24EF730C">
        <w:rPr>
          <w:lang w:val="en-GB"/>
        </w:rPr>
        <w:t>Pre-conditions</w:t>
      </w:r>
    </w:p>
    <w:p w14:paraId="7EA35835" w14:textId="77777777" w:rsidR="001B34C3" w:rsidRDefault="001B34C3" w:rsidP="001B34C3">
      <w:pPr>
        <w:numPr>
          <w:ilvl w:val="0"/>
          <w:numId w:val="15"/>
        </w:numPr>
        <w:rPr>
          <w:rFonts w:eastAsia="Calibri"/>
        </w:rPr>
      </w:pPr>
      <w:r>
        <w:rPr>
          <w:rFonts w:eastAsia="Calibri"/>
        </w:rPr>
        <w:t>The network supports both GEO and NGSO satellites</w:t>
      </w:r>
    </w:p>
    <w:p w14:paraId="5B7BD6A6" w14:textId="77777777" w:rsidR="001B34C3" w:rsidRDefault="001B34C3" w:rsidP="001B34C3">
      <w:pPr>
        <w:numPr>
          <w:ilvl w:val="0"/>
          <w:numId w:val="15"/>
        </w:numPr>
        <w:rPr>
          <w:rFonts w:eastAsia="Calibri"/>
        </w:rPr>
      </w:pPr>
      <w:r w:rsidRPr="3243BDAE">
        <w:rPr>
          <w:rFonts w:eastAsia="Calibri"/>
        </w:rPr>
        <w:t>The network supports handover between GEO satellite(s) and NGSO satellite(s)</w:t>
      </w:r>
    </w:p>
    <w:p w14:paraId="38E67FA3" w14:textId="77777777" w:rsidR="001B34C3" w:rsidRDefault="001B34C3" w:rsidP="001B34C3">
      <w:pPr>
        <w:numPr>
          <w:ilvl w:val="0"/>
          <w:numId w:val="15"/>
        </w:numPr>
        <w:rPr>
          <w:rFonts w:eastAsia="Calibri"/>
        </w:rPr>
      </w:pPr>
      <w:r w:rsidRPr="3243BDAE">
        <w:rPr>
          <w:rFonts w:eastAsia="Calibri"/>
        </w:rPr>
        <w:t>UEs can close a link to both GEO and NGSO satellites</w:t>
      </w:r>
    </w:p>
    <w:p w14:paraId="7DBB682D" w14:textId="77777777" w:rsidR="001B34C3" w:rsidRDefault="001B34C3" w:rsidP="001B34C3">
      <w:pPr>
        <w:numPr>
          <w:ilvl w:val="0"/>
          <w:numId w:val="15"/>
        </w:numPr>
        <w:rPr>
          <w:rFonts w:eastAsia="Calibri"/>
        </w:rPr>
      </w:pPr>
      <w:r w:rsidRPr="3243BDAE">
        <w:rPr>
          <w:rFonts w:eastAsia="Calibri"/>
        </w:rPr>
        <w:t>UEs are able to handle the Doppler of NGSO satellites</w:t>
      </w:r>
    </w:p>
    <w:p w14:paraId="19988FFE" w14:textId="77777777" w:rsidR="001B34C3" w:rsidRDefault="001B34C3" w:rsidP="001B34C3">
      <w:pPr>
        <w:numPr>
          <w:ilvl w:val="0"/>
          <w:numId w:val="15"/>
        </w:numPr>
        <w:rPr>
          <w:rFonts w:eastAsia="Calibri"/>
        </w:rPr>
      </w:pPr>
      <w:r w:rsidRPr="3243BDAE">
        <w:rPr>
          <w:rFonts w:eastAsia="Calibri"/>
        </w:rPr>
        <w:t>UEs are able to tolerate a differential delay inherent in the GEO and NGSO networks</w:t>
      </w:r>
    </w:p>
    <w:p w14:paraId="0CD8D0AE" w14:textId="77777777" w:rsidR="001B34C3" w:rsidRDefault="001B34C3" w:rsidP="001B34C3">
      <w:pPr>
        <w:numPr>
          <w:ilvl w:val="0"/>
          <w:numId w:val="15"/>
        </w:numPr>
        <w:rPr>
          <w:rFonts w:eastAsia="Calibri"/>
        </w:rPr>
      </w:pPr>
      <w:r>
        <w:rPr>
          <w:rFonts w:eastAsia="Calibri"/>
        </w:rPr>
        <w:t>GEO satellites provide broad coverage via (potentially) spot beams or regional beams</w:t>
      </w:r>
    </w:p>
    <w:p w14:paraId="74CA48AC" w14:textId="77777777" w:rsidR="001B34C3" w:rsidRDefault="001B34C3" w:rsidP="001B34C3">
      <w:pPr>
        <w:numPr>
          <w:ilvl w:val="0"/>
          <w:numId w:val="15"/>
        </w:numPr>
        <w:rPr>
          <w:rFonts w:eastAsia="Calibri"/>
        </w:rPr>
      </w:pPr>
      <w:r>
        <w:rPr>
          <w:rFonts w:eastAsia="Calibri"/>
        </w:rPr>
        <w:t>NGSO satellites with focused coverage via on-demand spot beams</w:t>
      </w:r>
    </w:p>
    <w:p w14:paraId="0F52E7CC" w14:textId="77777777" w:rsidR="001B34C3" w:rsidRDefault="001B34C3" w:rsidP="001B34C3">
      <w:pPr>
        <w:numPr>
          <w:ilvl w:val="0"/>
          <w:numId w:val="15"/>
        </w:numPr>
        <w:rPr>
          <w:rFonts w:eastAsia="Calibri"/>
        </w:rPr>
      </w:pPr>
      <w:r w:rsidRPr="3243BDAE">
        <w:rPr>
          <w:rFonts w:eastAsia="Calibri"/>
        </w:rPr>
        <w:t>A network plan that deconflicts frequency allocations between the GEO and NGSO satellites.</w:t>
      </w:r>
    </w:p>
    <w:p w14:paraId="7A933394" w14:textId="77777777" w:rsidR="001B34C3" w:rsidRDefault="001B34C3" w:rsidP="001B34C3">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7C2EB6FD" w14:textId="77777777" w:rsidR="001B34C3" w:rsidRDefault="001B34C3" w:rsidP="001B34C3">
      <w:pPr>
        <w:numPr>
          <w:ilvl w:val="0"/>
          <w:numId w:val="15"/>
        </w:numPr>
        <w:rPr>
          <w:rFonts w:eastAsia="Calibri"/>
        </w:rPr>
      </w:pPr>
      <w:r w:rsidRPr="3243BDAE">
        <w:rPr>
          <w:rFonts w:eastAsia="Calibri"/>
        </w:rPr>
        <w:t>The different satellite orbits employed by the network may be supported by the same or different RAT types</w:t>
      </w:r>
    </w:p>
    <w:p w14:paraId="58B61F76" w14:textId="77777777" w:rsidR="00234E84" w:rsidRPr="000D6532" w:rsidRDefault="00472A9A" w:rsidP="00B00980">
      <w:pPr>
        <w:pStyle w:val="Heading3"/>
        <w:rPr>
          <w:lang w:val="en-GB"/>
        </w:rPr>
      </w:pPr>
      <w:r>
        <w:rPr>
          <w:lang w:val="en-GB"/>
        </w:rPr>
        <w:t>2</w:t>
      </w:r>
      <w:r w:rsidR="00234E84" w:rsidRPr="000D6532">
        <w:rPr>
          <w:lang w:val="en-GB"/>
        </w:rPr>
        <w:t>.1.3</w:t>
      </w:r>
      <w:r w:rsidR="002069C0" w:rsidRPr="000D6532">
        <w:rPr>
          <w:lang w:val="en-GB"/>
        </w:rPr>
        <w:tab/>
      </w:r>
      <w:r w:rsidR="00234E84" w:rsidRPr="000D6532">
        <w:rPr>
          <w:lang w:val="en-GB"/>
        </w:rPr>
        <w:t>Service Flows</w:t>
      </w:r>
    </w:p>
    <w:p w14:paraId="398D3938" w14:textId="74E673FD" w:rsidR="009C34EF" w:rsidRPr="0021164F" w:rsidRDefault="009C34EF" w:rsidP="009C34EF">
      <w:pPr>
        <w:numPr>
          <w:ilvl w:val="0"/>
          <w:numId w:val="6"/>
        </w:numPr>
        <w:rPr>
          <w:highlight w:val="yellow"/>
        </w:rPr>
      </w:pPr>
      <w:r w:rsidRPr="24EF730C">
        <w:rPr>
          <w:highlight w:val="yellow"/>
        </w:rPr>
        <w:t xml:space="preserve">UE </w:t>
      </w:r>
      <w:r w:rsidR="00E447E1" w:rsidRPr="24EF730C">
        <w:rPr>
          <w:highlight w:val="yellow"/>
        </w:rPr>
        <w:t xml:space="preserve"> begins NTN cell selection or reselection procedure</w:t>
      </w:r>
    </w:p>
    <w:p w14:paraId="79D8FE6B" w14:textId="7BBD4A08" w:rsidR="009C34EF" w:rsidRDefault="009C34EF" w:rsidP="009C34EF">
      <w:pPr>
        <w:numPr>
          <w:ilvl w:val="0"/>
          <w:numId w:val="6"/>
        </w:numPr>
      </w:pPr>
      <w:r>
        <w:t xml:space="preserve">UE </w:t>
      </w:r>
      <w:r w:rsidR="00D248FD">
        <w:t xml:space="preserve">successfully </w:t>
      </w:r>
      <w:r w:rsidR="00C547AA">
        <w:t xml:space="preserve">locks onto </w:t>
      </w:r>
      <w:r w:rsidR="00D42D00">
        <w:t xml:space="preserve">a GEO </w:t>
      </w:r>
      <w:r w:rsidR="00E447E1">
        <w:t xml:space="preserve">cell </w:t>
      </w:r>
    </w:p>
    <w:p w14:paraId="14A5505A" w14:textId="77777777" w:rsidR="00D42D00" w:rsidRDefault="00D42D00" w:rsidP="009C34EF">
      <w:pPr>
        <w:numPr>
          <w:ilvl w:val="0"/>
          <w:numId w:val="6"/>
        </w:numPr>
      </w:pPr>
      <w:r>
        <w:t>UE does initial network entry, achieves synchronization with the GEO spot beam.</w:t>
      </w:r>
    </w:p>
    <w:p w14:paraId="25083B61" w14:textId="77777777" w:rsidR="00D42D00" w:rsidRDefault="00D42D00" w:rsidP="009C34EF">
      <w:pPr>
        <w:numPr>
          <w:ilvl w:val="0"/>
          <w:numId w:val="6"/>
        </w:numPr>
      </w:pPr>
      <w:r>
        <w:t>UE does service flow activation with a GEO spot beam</w:t>
      </w:r>
    </w:p>
    <w:p w14:paraId="47DAB1EF" w14:textId="77777777" w:rsidR="00D42D00" w:rsidRDefault="00D42D00" w:rsidP="009C34EF">
      <w:pPr>
        <w:numPr>
          <w:ilvl w:val="0"/>
          <w:numId w:val="6"/>
        </w:numPr>
      </w:pPr>
      <w:r>
        <w:t>UE engages in a network initiated handover to a NGSO spot beam</w:t>
      </w:r>
    </w:p>
    <w:p w14:paraId="2BE8F26B" w14:textId="77777777" w:rsidR="00D42D00" w:rsidRDefault="00D42D00" w:rsidP="009C34EF">
      <w:pPr>
        <w:numPr>
          <w:ilvl w:val="0"/>
          <w:numId w:val="6"/>
        </w:numPr>
      </w:pPr>
      <w:r>
        <w:t>UE comes online and sends traffic via the NGSO satellite.</w:t>
      </w:r>
    </w:p>
    <w:p w14:paraId="22A8CF7C" w14:textId="77777777" w:rsidR="00234E84" w:rsidRPr="000D6532" w:rsidRDefault="00472A9A" w:rsidP="00B00980">
      <w:pPr>
        <w:pStyle w:val="Heading3"/>
        <w:rPr>
          <w:lang w:val="en-GB"/>
        </w:rPr>
      </w:pPr>
      <w:bookmarkStart w:id="3" w:name="_Toc355779207"/>
      <w:bookmarkStart w:id="4" w:name="_Toc354586745"/>
      <w:bookmarkStart w:id="5" w:name="_Toc354590104"/>
      <w:bookmarkEnd w:id="3"/>
      <w:bookmarkEnd w:id="4"/>
      <w:bookmarkEnd w:id="5"/>
      <w:r>
        <w:rPr>
          <w:lang w:val="en-GB"/>
        </w:rPr>
        <w:t>2</w:t>
      </w:r>
      <w:r w:rsidR="00234E84" w:rsidRPr="000D6532">
        <w:rPr>
          <w:lang w:val="en-GB"/>
        </w:rPr>
        <w:t>.1.4</w:t>
      </w:r>
      <w:r w:rsidR="002069C0" w:rsidRPr="000D6532">
        <w:rPr>
          <w:lang w:val="en-GB"/>
        </w:rPr>
        <w:tab/>
      </w:r>
      <w:r w:rsidR="00234E84" w:rsidRPr="000D6532">
        <w:rPr>
          <w:lang w:val="en-GB"/>
        </w:rPr>
        <w:t>Post-conditions</w:t>
      </w:r>
    </w:p>
    <w:p w14:paraId="6576F3BA" w14:textId="77777777" w:rsidR="00B967B1" w:rsidRPr="000D6532" w:rsidRDefault="00B967B1" w:rsidP="00B00980">
      <w:pPr>
        <w:rPr>
          <w:rFonts w:eastAsia="Calibri"/>
        </w:rPr>
      </w:pPr>
      <w:r>
        <w:t>The UE is on a NGSO system and carries out communication via an NGSO satellite.</w:t>
      </w:r>
    </w:p>
    <w:p w14:paraId="1F7102A9" w14:textId="77777777" w:rsidR="00E06C59" w:rsidRPr="000D6532" w:rsidRDefault="00472A9A" w:rsidP="00B00980">
      <w:pPr>
        <w:pStyle w:val="Heading3"/>
        <w:rPr>
          <w:lang w:val="en-GB"/>
        </w:rPr>
      </w:pPr>
      <w:bookmarkStart w:id="6" w:name="_Toc355779209"/>
      <w:bookmarkStart w:id="7" w:name="_Toc354586747"/>
      <w:bookmarkStart w:id="8" w:name="_Toc354590106"/>
      <w:bookmarkEnd w:id="6"/>
      <w:bookmarkEnd w:id="7"/>
      <w:bookmarkEnd w:id="8"/>
      <w:r>
        <w:rPr>
          <w:lang w:val="en-GB"/>
        </w:rPr>
        <w:t>2</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A72CD09" w14:textId="77777777" w:rsidR="00472A9A" w:rsidRPr="000D6532" w:rsidRDefault="00472A9A" w:rsidP="00B00980">
      <w:pPr>
        <w:rPr>
          <w:rFonts w:eastAsia="Calibri"/>
        </w:rPr>
      </w:pPr>
      <w:r>
        <w:t xml:space="preserve">3GPP </w:t>
      </w:r>
      <w:proofErr w:type="spellStart"/>
      <w:r>
        <w:t>Rel</w:t>
      </w:r>
      <w:proofErr w:type="spellEnd"/>
      <w:r>
        <w:t xml:space="preserve"> 19 NTN features which support the use of satellites shall cover the use case partially.</w:t>
      </w:r>
    </w:p>
    <w:p w14:paraId="6130ABBB" w14:textId="77777777" w:rsidR="00234E84" w:rsidRPr="000D6532" w:rsidRDefault="00472A9A" w:rsidP="00B00980">
      <w:pPr>
        <w:pStyle w:val="Heading3"/>
        <w:rPr>
          <w:lang w:val="en-GB"/>
        </w:rPr>
      </w:pPr>
      <w:r>
        <w:rPr>
          <w:lang w:val="en-GB"/>
        </w:rPr>
        <w:t>2</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D33342B" w14:textId="74951A11" w:rsidR="001D4FB9" w:rsidRPr="00AE62B2" w:rsidRDefault="00E344AD" w:rsidP="00E82F35">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rsidRPr="00217D8D">
        <w:t>,</w:t>
      </w:r>
      <w:r>
        <w:t xml:space="preserve"> </w:t>
      </w:r>
      <w:r w:rsidR="00472A9A" w:rsidRPr="24EF730C">
        <w:rPr>
          <w:rFonts w:eastAsia="Calibri"/>
        </w:rPr>
        <w:t xml:space="preserve">shall be able to handover </w:t>
      </w:r>
      <w:r w:rsidR="00AE62B2" w:rsidRPr="24EF730C">
        <w:rPr>
          <w:rFonts w:eastAsia="Calibri"/>
        </w:rPr>
        <w:t xml:space="preserve">and redirect </w:t>
      </w:r>
      <w:r w:rsidR="00472A9A" w:rsidRPr="24EF730C">
        <w:rPr>
          <w:rFonts w:eastAsia="Calibri"/>
        </w:rPr>
        <w:t xml:space="preserve">between </w:t>
      </w:r>
      <w:r w:rsidR="001D4FB9" w:rsidRPr="24EF730C">
        <w:rPr>
          <w:rFonts w:eastAsia="Calibri"/>
        </w:rPr>
        <w:t xml:space="preserve">different satellite </w:t>
      </w:r>
      <w:r w:rsidR="00463956" w:rsidRPr="24EF730C">
        <w:rPr>
          <w:rFonts w:eastAsia="Calibri"/>
        </w:rPr>
        <w:t>orbit</w:t>
      </w:r>
      <w:r w:rsidR="001D4FB9" w:rsidRPr="24EF730C">
        <w:rPr>
          <w:rFonts w:eastAsia="Calibri"/>
        </w:rPr>
        <w:t xml:space="preserve"> types</w:t>
      </w:r>
      <w:r w:rsidR="00AE62B2" w:rsidRPr="24EF730C">
        <w:rPr>
          <w:rFonts w:eastAsia="Calibri"/>
        </w:rPr>
        <w:t xml:space="preserve"> supporting the same or different RAT types</w:t>
      </w:r>
      <w:r w:rsidR="00463956" w:rsidRPr="24EF730C">
        <w:rPr>
          <w:rFonts w:eastAsia="Calibri"/>
        </w:rPr>
        <w:t>.</w:t>
      </w:r>
    </w:p>
    <w:p w14:paraId="5D2CE722" w14:textId="1715EA3A" w:rsidR="00472A9A" w:rsidRDefault="00E344AD" w:rsidP="00E82F35">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w:t>
      </w:r>
      <w:r>
        <w:rPr>
          <w:noProof/>
          <w:lang w:val="en-US"/>
        </w:rPr>
        <w:t>2</w:t>
      </w:r>
      <w:r w:rsidRPr="001335B1">
        <w:rPr>
          <w:noProof/>
          <w:lang w:val="en-US"/>
        </w:rPr>
        <w:t xml:space="preserve">] </w:t>
      </w:r>
      <w:r w:rsidR="00472A9A" w:rsidRPr="3243BDAE">
        <w:rPr>
          <w:rFonts w:eastAsia="Calibri"/>
        </w:rPr>
        <w:t xml:space="preserve">A UE interacting </w:t>
      </w:r>
      <w:r>
        <w:rPr>
          <w:noProof/>
          <w:lang w:val="en-US" w:eastAsia="zh-CN"/>
        </w:rPr>
        <w:t>with a</w:t>
      </w:r>
      <w:r w:rsidRPr="001335B1">
        <w:rPr>
          <w:rFonts w:hint="eastAsia"/>
          <w:noProof/>
          <w:lang w:val="en-US" w:eastAsia="zh-CN"/>
        </w:rPr>
        <w:t xml:space="preserve"> 5G system </w:t>
      </w:r>
      <w:r w:rsidRPr="001335B1">
        <w:rPr>
          <w:noProof/>
          <w:lang w:val="en-US" w:eastAsia="zh-CN"/>
        </w:rPr>
        <w:t xml:space="preserve">with satellite access </w:t>
      </w:r>
      <w:r>
        <w:t>supporting multi orbit operation</w:t>
      </w:r>
      <w:r w:rsidR="00851FAB" w:rsidRPr="3243BDAE">
        <w:rPr>
          <w:rFonts w:eastAsia="Calibri"/>
        </w:rPr>
        <w:t>, such as GEO and NGSO,</w:t>
      </w:r>
      <w:r w:rsidR="00472A9A" w:rsidRPr="3243BDAE">
        <w:rPr>
          <w:rFonts w:eastAsia="Calibri"/>
        </w:rPr>
        <w:t xml:space="preserve"> shall be able to operate with different</w:t>
      </w:r>
      <w:r w:rsidR="00F105F5" w:rsidRPr="3243BDAE">
        <w:rPr>
          <w:rFonts w:eastAsia="Calibri"/>
        </w:rPr>
        <w:t xml:space="preserve"> </w:t>
      </w:r>
      <w:r w:rsidR="003E3CEC" w:rsidRPr="3243BDAE">
        <w:rPr>
          <w:rFonts w:eastAsia="Calibri"/>
        </w:rPr>
        <w:t>timing and Doppler aspects</w:t>
      </w:r>
      <w:r w:rsidR="00472A9A" w:rsidRPr="3243BDAE">
        <w:rPr>
          <w:rFonts w:eastAsia="Calibri"/>
        </w:rPr>
        <w:t xml:space="preserve"> </w:t>
      </w:r>
      <w:r w:rsidR="00337E59" w:rsidRPr="3243BDAE">
        <w:rPr>
          <w:rFonts w:eastAsia="Calibri"/>
        </w:rPr>
        <w:t>inherent in the GEO and NGSO networks</w:t>
      </w:r>
    </w:p>
    <w:p w14:paraId="1EABE0B7" w14:textId="3EC763D9" w:rsidR="00472A9A" w:rsidRPr="000D6532" w:rsidRDefault="00E344AD" w:rsidP="00E82F35">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w:t>
      </w:r>
      <w:r>
        <w:rPr>
          <w:noProof/>
          <w:lang w:val="en-US"/>
        </w:rPr>
        <w:t>3</w:t>
      </w:r>
      <w:r w:rsidRPr="001335B1">
        <w:rPr>
          <w:noProof/>
          <w:lang w:val="en-US"/>
        </w:rPr>
        <w:t xml:space="preserve">] </w:t>
      </w:r>
      <w:r w:rsidRPr="001335B1">
        <w:rPr>
          <w:rFonts w:hint="eastAsia"/>
          <w:noProof/>
          <w:lang w:val="en-US" w:eastAsia="zh-CN"/>
        </w:rPr>
        <w:t xml:space="preserve">A 5G system </w:t>
      </w:r>
      <w:r w:rsidRPr="001335B1">
        <w:rPr>
          <w:noProof/>
          <w:lang w:val="en-US" w:eastAsia="zh-CN"/>
        </w:rPr>
        <w:t xml:space="preserve">with satellite access </w:t>
      </w:r>
      <w:r>
        <w:t>supporting multi orbit operation</w:t>
      </w:r>
      <w:r>
        <w:t xml:space="preserve"> </w:t>
      </w:r>
      <w:r w:rsidR="00472A9A" w:rsidRPr="3243BDAE">
        <w:rPr>
          <w:rFonts w:eastAsia="Calibri"/>
        </w:rPr>
        <w:t xml:space="preserve">shall be able capable of network entry via one satellite </w:t>
      </w:r>
      <w:r w:rsidR="003E3CEC" w:rsidRPr="3243BDAE">
        <w:rPr>
          <w:rFonts w:eastAsia="Calibri"/>
        </w:rPr>
        <w:t xml:space="preserve">access type </w:t>
      </w:r>
      <w:r w:rsidR="00472A9A" w:rsidRPr="3243BDAE">
        <w:rPr>
          <w:rFonts w:eastAsia="Calibri"/>
        </w:rPr>
        <w:t>and data communications through a different satellite</w:t>
      </w:r>
      <w:r w:rsidR="003E3CEC" w:rsidRPr="3243BDAE">
        <w:rPr>
          <w:rFonts w:eastAsia="Calibri"/>
        </w:rPr>
        <w:t xml:space="preserve"> access type</w:t>
      </w:r>
      <w:r w:rsidR="00472A9A" w:rsidRPr="3243BDAE">
        <w:rPr>
          <w:rFonts w:eastAsia="Calibri"/>
        </w:rPr>
        <w:t>.</w:t>
      </w:r>
    </w:p>
    <w:p w14:paraId="10F9CC18" w14:textId="6727A68A"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2"/>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305902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34C3"/>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50E1A"/>
    <w:rsid w:val="00551668"/>
    <w:rsid w:val="00553BBE"/>
    <w:rsid w:val="00556BEB"/>
    <w:rsid w:val="00560059"/>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435E"/>
    <w:rsid w:val="00642DD0"/>
    <w:rsid w:val="006515A4"/>
    <w:rsid w:val="00653D48"/>
    <w:rsid w:val="00661E6E"/>
    <w:rsid w:val="00662BA3"/>
    <w:rsid w:val="006650BB"/>
    <w:rsid w:val="00666C7E"/>
    <w:rsid w:val="00670860"/>
    <w:rsid w:val="00674FD1"/>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2137"/>
    <w:rsid w:val="009958A7"/>
    <w:rsid w:val="00996CC6"/>
    <w:rsid w:val="009A1645"/>
    <w:rsid w:val="009B33E1"/>
    <w:rsid w:val="009C0776"/>
    <w:rsid w:val="009C1823"/>
    <w:rsid w:val="009C34EF"/>
    <w:rsid w:val="009C35D0"/>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DF5"/>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4E6D"/>
    <w:rsid w:val="00C75A90"/>
    <w:rsid w:val="00C75C8E"/>
    <w:rsid w:val="00C770CB"/>
    <w:rsid w:val="00C772E0"/>
    <w:rsid w:val="00C80D20"/>
    <w:rsid w:val="00C82058"/>
    <w:rsid w:val="00C82B9E"/>
    <w:rsid w:val="00C82D19"/>
    <w:rsid w:val="00C839DF"/>
    <w:rsid w:val="00C84A3E"/>
    <w:rsid w:val="00C90C99"/>
    <w:rsid w:val="00C953CC"/>
    <w:rsid w:val="00C953D4"/>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44AD"/>
    <w:rsid w:val="00E3765C"/>
    <w:rsid w:val="00E40B50"/>
    <w:rsid w:val="00E447E1"/>
    <w:rsid w:val="00E50082"/>
    <w:rsid w:val="00E53B32"/>
    <w:rsid w:val="00E5463A"/>
    <w:rsid w:val="00E8003C"/>
    <w:rsid w:val="00E81637"/>
    <w:rsid w:val="00E82F35"/>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919</Words>
  <Characters>5241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6</cp:revision>
  <dcterms:created xsi:type="dcterms:W3CDTF">2024-08-09T20:12:00Z</dcterms:created>
  <dcterms:modified xsi:type="dcterms:W3CDTF">2024-08-09T21:53:00Z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